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80" w:rsidRDefault="00F035A4" w:rsidP="00AD5A80">
      <w:r>
        <w:t>The final exam is scheduled by the College for</w:t>
      </w:r>
    </w:p>
    <w:tbl>
      <w:tblPr>
        <w:tblW w:w="10500" w:type="dxa"/>
        <w:tblCellSpacing w:w="15" w:type="dxa"/>
        <w:shd w:val="clear" w:color="auto" w:fill="DDE4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5"/>
        <w:gridCol w:w="2556"/>
        <w:gridCol w:w="4489"/>
      </w:tblGrid>
      <w:tr w:rsidR="00AD5A80" w:rsidRPr="00176D0D" w:rsidTr="008E6FE2">
        <w:trPr>
          <w:tblCellSpacing w:w="15" w:type="dxa"/>
        </w:trPr>
        <w:tc>
          <w:tcPr>
            <w:tcW w:w="0" w:type="auto"/>
            <w:shd w:val="clear" w:color="auto" w:fill="DDE4FF"/>
            <w:vAlign w:val="center"/>
            <w:hideMark/>
          </w:tcPr>
          <w:p w:rsidR="00AD5A80" w:rsidRPr="00176D0D" w:rsidRDefault="00AD5A80" w:rsidP="008E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D0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Friday </w:t>
            </w:r>
            <w:r w:rsidRPr="00176D0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</w:rPr>
              <w:t>morning</w:t>
            </w:r>
            <w:r w:rsidRPr="00176D0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DDE4FF"/>
            <w:vAlign w:val="center"/>
            <w:hideMark/>
          </w:tcPr>
          <w:p w:rsidR="00AD5A80" w:rsidRPr="00176D0D" w:rsidRDefault="00AD5A80" w:rsidP="008E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D0D">
              <w:rPr>
                <w:rFonts w:ascii="Arial" w:eastAsia="Times New Roman" w:hAnsi="Arial" w:cs="Arial"/>
                <w:b/>
                <w:bCs/>
                <w:color w:val="FF6666"/>
                <w:sz w:val="20"/>
                <w:szCs w:val="20"/>
              </w:rPr>
              <w:t>May 5, 2017</w:t>
            </w:r>
          </w:p>
        </w:tc>
        <w:tc>
          <w:tcPr>
            <w:tcW w:w="0" w:type="auto"/>
            <w:shd w:val="clear" w:color="auto" w:fill="DDE4FF"/>
            <w:vAlign w:val="center"/>
            <w:hideMark/>
          </w:tcPr>
          <w:p w:rsidR="00AD5A80" w:rsidRPr="00176D0D" w:rsidRDefault="00AD5A80" w:rsidP="008E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D0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10:30 AM - 12:30 PM </w:t>
            </w:r>
          </w:p>
        </w:tc>
      </w:tr>
    </w:tbl>
    <w:p w:rsidR="00AD5A80" w:rsidRDefault="00AD5A80" w:rsidP="00AD5A80"/>
    <w:p w:rsidR="00AD5A80" w:rsidRDefault="00AD5A80" w:rsidP="00AD5A80">
      <w:pPr>
        <w:ind w:firstLine="720"/>
      </w:pPr>
      <w:r>
        <w:t xml:space="preserve">Please check your room assignment the day of the exam at </w:t>
      </w:r>
    </w:p>
    <w:p w:rsidR="00AD5A80" w:rsidRDefault="00AD5A80" w:rsidP="00682BCE">
      <w:pPr>
        <w:ind w:left="720"/>
      </w:pPr>
      <w:hyperlink r:id="rId5" w:history="1">
        <w:r w:rsidRPr="007C44E3">
          <w:rPr>
            <w:rStyle w:val="Hyperlink"/>
          </w:rPr>
          <w:t>http://www.math.wustl.edu/seatlookup/</w:t>
        </w:r>
      </w:hyperlink>
      <w:r w:rsidR="00682BCE">
        <w:t xml:space="preserve">.   </w:t>
      </w:r>
      <w:r>
        <w:t>Since the exam is morning rather than evening, there is a chance that your exam room m</w:t>
      </w:r>
      <w:r w:rsidR="00682BCE">
        <w:t xml:space="preserve">ay </w:t>
      </w:r>
      <w:r>
        <w:t xml:space="preserve">differ </w:t>
      </w:r>
      <w:r w:rsidR="00682BCE">
        <w:t xml:space="preserve">from the rooms used </w:t>
      </w:r>
      <w:r>
        <w:t xml:space="preserve">for </w:t>
      </w:r>
      <w:r w:rsidR="00682BCE">
        <w:t xml:space="preserve">previous </w:t>
      </w:r>
      <w:r>
        <w:t>exams.</w:t>
      </w:r>
    </w:p>
    <w:p w:rsidR="00F67606" w:rsidRDefault="00F67606">
      <w:r>
        <w:t xml:space="preserve">The final exam will </w:t>
      </w:r>
      <w:r w:rsidR="00F035A4">
        <w:t xml:space="preserve">(directly) </w:t>
      </w:r>
      <w:r>
        <w:t xml:space="preserve">cover </w:t>
      </w:r>
      <w:r w:rsidR="00F035A4">
        <w:t xml:space="preserve">only </w:t>
      </w:r>
      <w:r>
        <w:t xml:space="preserve">material in the syllabus from </w:t>
      </w:r>
      <w:r w:rsidR="00D163BF">
        <w:t xml:space="preserve">Section 5.5 (integration by substitution), </w:t>
      </w:r>
      <w:r>
        <w:t>Chapter</w:t>
      </w:r>
      <w:r w:rsidR="0096758D">
        <w:t xml:space="preserve"> 7 (Techniques of Integration)</w:t>
      </w:r>
      <w:r>
        <w:t xml:space="preserve">, </w:t>
      </w:r>
      <w:r w:rsidR="0096758D">
        <w:t xml:space="preserve">Chapter </w:t>
      </w:r>
      <w:r>
        <w:t>8.1 (arc length)</w:t>
      </w:r>
      <w:r w:rsidR="00F035A4">
        <w:t xml:space="preserve">, </w:t>
      </w:r>
      <w:r>
        <w:t xml:space="preserve">and </w:t>
      </w:r>
      <w:r w:rsidR="0096758D">
        <w:t>C</w:t>
      </w:r>
      <w:r>
        <w:t xml:space="preserve">hapter </w:t>
      </w:r>
      <w:r w:rsidR="0096758D">
        <w:t xml:space="preserve">11 (Sequences and Series).  Check the Daily Assignments page in the syllabus for any additional handouts, comments about any topics omitted along the way during the semester, etc. </w:t>
      </w:r>
      <w:r w:rsidR="00176D0D">
        <w:t xml:space="preserve"> Of course, you may need other tools from the course in the process of solving a problem, but the other topics will not be the focus of questions.</w:t>
      </w:r>
    </w:p>
    <w:p w:rsidR="00176D0D" w:rsidRDefault="00176D0D">
      <w:r>
        <w:t>As always, you can have a single hand-written 3x5 card (2-sided (with any notes you like).  No other notes and no electronic devices are permitted during the exam.  I will as</w:t>
      </w:r>
      <w:r w:rsidR="0043739F">
        <w:t>k</w:t>
      </w:r>
      <w:r>
        <w:t xml:space="preserve"> the TA proctors at the exam to be especially alert for violations:  NO CELL PHONE OR OTHER </w:t>
      </w:r>
      <w:proofErr w:type="gramStart"/>
      <w:r>
        <w:t>DEVICES  SHOULD</w:t>
      </w:r>
      <w:proofErr w:type="gramEnd"/>
      <w:r>
        <w:t xml:space="preserve">  EVEN BE VISIBILE DURING THE TEST.  TURN THEM OFF OR SILENCE THEM AND LEAVE THEM IN YOUR BACKPACK AT THE FRONT OF THE EXAM ROOM.  YOU SHOULD NOT HAVE A CELL PHONE WITH YOU IF YOU VISIT A REST ROOM DURING THE EXAM.</w:t>
      </w:r>
    </w:p>
    <w:p w:rsidR="00F36AE1" w:rsidRDefault="00F67606">
      <w:r>
        <w:t>Since the College has a rapid turn-around period for submitting final grades, and there are a lot of numbers t</w:t>
      </w:r>
      <w:r w:rsidR="00106975">
        <w:t>o crunch, there will be no hand-</w:t>
      </w:r>
      <w:r>
        <w:t xml:space="preserve">graded </w:t>
      </w:r>
      <w:r w:rsidR="00106975">
        <w:t>section in the exam</w:t>
      </w:r>
      <w:r>
        <w:t>: only multiple choice (18 questions, 5 pts each) and true/fal</w:t>
      </w:r>
      <w:r w:rsidR="00176D0D">
        <w:t xml:space="preserve">se (10 questions, 1 point each). </w:t>
      </w:r>
      <w:r w:rsidR="00106975">
        <w:t xml:space="preserve"> </w:t>
      </w:r>
      <w:r w:rsidR="00176D0D">
        <w:t>The questions will be approximately e</w:t>
      </w:r>
      <w:r w:rsidR="00477B2C">
        <w:t>qually divided between Chapter 11</w:t>
      </w:r>
      <w:r w:rsidR="00176D0D">
        <w:t xml:space="preserve"> </w:t>
      </w:r>
      <w:r w:rsidR="00477B2C">
        <w:t xml:space="preserve">material </w:t>
      </w:r>
      <w:r w:rsidR="00176D0D">
        <w:t xml:space="preserve">and </w:t>
      </w:r>
      <w:r w:rsidR="00477B2C">
        <w:t>the other</w:t>
      </w:r>
      <w:r w:rsidR="00176D0D">
        <w:t xml:space="preserve"> material.</w:t>
      </w:r>
    </w:p>
    <w:p w:rsidR="00176D0D" w:rsidRDefault="00176D0D">
      <w:r>
        <w:t>Since the special Q/A help session</w:t>
      </w:r>
      <w:r w:rsidR="00313892">
        <w:t>s</w:t>
      </w:r>
      <w:r>
        <w:t xml:space="preserve"> bef</w:t>
      </w:r>
      <w:r w:rsidR="00313892">
        <w:t>ore the last few exams were</w:t>
      </w:r>
      <w:r>
        <w:t xml:space="preserve"> very poorly attended, there won’t be one for the final. </w:t>
      </w:r>
      <w:r w:rsidR="00A20640">
        <w:t xml:space="preserve">  The Calculus Help Room in </w:t>
      </w:r>
      <w:proofErr w:type="spellStart"/>
      <w:r w:rsidR="00A20640">
        <w:t>Lopata</w:t>
      </w:r>
      <w:proofErr w:type="spellEnd"/>
      <w:r w:rsidR="00A20640">
        <w:t xml:space="preserve"> 323 will be open until 2 p.m. on May 4 (see schedule at </w:t>
      </w:r>
      <w:hyperlink r:id="rId6" w:history="1">
        <w:r w:rsidR="00A20640" w:rsidRPr="007C44E3">
          <w:rPr>
            <w:rStyle w:val="Hyperlink"/>
          </w:rPr>
          <w:t>http://www.math.wustl.edu/~blake/calculus/</w:t>
        </w:r>
      </w:hyperlink>
      <w:r w:rsidR="00A20640">
        <w:t xml:space="preserve"> ).  Also watch for </w:t>
      </w:r>
      <w:r>
        <w:t>announcements posted via BB about walk-in help session</w:t>
      </w:r>
      <w:r w:rsidR="00A20640">
        <w:t>s held by RPMs.</w:t>
      </w:r>
    </w:p>
    <w:p w:rsidR="0096758D" w:rsidRDefault="0096758D">
      <w:r>
        <w:t>My office hours next week:</w:t>
      </w:r>
    </w:p>
    <w:p w:rsidR="0096758D" w:rsidRDefault="0096758D">
      <w:r>
        <w:tab/>
      </w:r>
      <w:r w:rsidR="007375A1">
        <w:t>Monday 1:30-3:30</w:t>
      </w:r>
    </w:p>
    <w:p w:rsidR="007375A1" w:rsidRDefault="007375A1">
      <w:r>
        <w:tab/>
        <w:t>Tuesday 12-2</w:t>
      </w:r>
    </w:p>
    <w:p w:rsidR="007375A1" w:rsidRDefault="007375A1">
      <w:r>
        <w:tab/>
        <w:t>Wednesday 2-4</w:t>
      </w:r>
    </w:p>
    <w:p w:rsidR="007375A1" w:rsidRDefault="007375A1">
      <w:r>
        <w:tab/>
        <w:t>Thursday 9:30-12</w:t>
      </w:r>
    </w:p>
    <w:p w:rsidR="003E7B76" w:rsidRDefault="003E7B76"/>
    <w:p w:rsidR="002C1687" w:rsidRDefault="002C1687">
      <w:r>
        <w:t>For practice</w:t>
      </w:r>
      <w:r w:rsidR="00A20640">
        <w:t>, if you wish, you can</w:t>
      </w:r>
    </w:p>
    <w:p w:rsidR="003E7B76" w:rsidRDefault="002C1687" w:rsidP="002C1687">
      <w:pPr>
        <w:pStyle w:val="ListParagraph"/>
        <w:numPr>
          <w:ilvl w:val="0"/>
          <w:numId w:val="1"/>
        </w:numPr>
      </w:pPr>
      <w:r>
        <w:t xml:space="preserve">Use the </w:t>
      </w:r>
      <w:r w:rsidR="003E7B76">
        <w:t>Final Exam from</w:t>
      </w:r>
      <w:r>
        <w:t xml:space="preserve"> Fall 2016 (but OMIT Questions 13, 14, 15, 18, 19</w:t>
      </w:r>
      <w:r w:rsidR="00D163BF">
        <w:t xml:space="preserve">, </w:t>
      </w:r>
      <w:r>
        <w:t xml:space="preserve">20 </w:t>
      </w:r>
      <w:r w:rsidR="00D163BF">
        <w:t>– these are all questions you should be able to do, but are about topics I’m not putting on the final exam).</w:t>
      </w:r>
    </w:p>
    <w:p w:rsidR="00D163BF" w:rsidRPr="003E7B76" w:rsidRDefault="003E7B76" w:rsidP="00D163BF">
      <w:pPr>
        <w:ind w:left="720"/>
      </w:pPr>
      <w:r>
        <w:lastRenderedPageBreak/>
        <w:t>(</w:t>
      </w:r>
      <w:r>
        <w:rPr>
          <w:i/>
        </w:rPr>
        <w:t xml:space="preserve">Note: as the textbook points out, “Maclaurin series” is just </w:t>
      </w:r>
      <w:proofErr w:type="gramStart"/>
      <w:r>
        <w:rPr>
          <w:i/>
        </w:rPr>
        <w:t>an</w:t>
      </w:r>
      <w:proofErr w:type="gramEnd"/>
      <w:r>
        <w:rPr>
          <w:i/>
        </w:rPr>
        <w:t xml:space="preserve"> common alternative name for “Taylor series centered as a = 0.”</w:t>
      </w:r>
      <w:r>
        <w:t>)</w:t>
      </w:r>
    </w:p>
    <w:p w:rsidR="003E7B76" w:rsidRDefault="003E7B76">
      <w:hyperlink r:id="rId7" w:history="1">
        <w:r w:rsidRPr="007C44E3">
          <w:rPr>
            <w:rStyle w:val="Hyperlink"/>
          </w:rPr>
          <w:t>http://www.dehn.wustl.edu/~blake/courses/WU-132-2016-Fall/ha</w:t>
        </w:r>
        <w:r w:rsidRPr="007C44E3">
          <w:rPr>
            <w:rStyle w:val="Hyperlink"/>
          </w:rPr>
          <w:t>n</w:t>
        </w:r>
        <w:r w:rsidRPr="007C44E3">
          <w:rPr>
            <w:rStyle w:val="Hyperlink"/>
          </w:rPr>
          <w:t>douts/Exam4.pdf</w:t>
        </w:r>
      </w:hyperlink>
    </w:p>
    <w:p w:rsidR="003E7B76" w:rsidRDefault="003E7B76">
      <w:hyperlink r:id="rId8" w:history="1">
        <w:r w:rsidRPr="007C44E3">
          <w:rPr>
            <w:rStyle w:val="Hyperlink"/>
          </w:rPr>
          <w:t>http://www.dehn.wustl.edu/~blake/courses/WU-132-2016-Fall/handouts/Exam4-Sols.pdf</w:t>
        </w:r>
      </w:hyperlink>
    </w:p>
    <w:p w:rsidR="003E7B76" w:rsidRDefault="003E7B76"/>
    <w:p w:rsidR="00B85D71" w:rsidRDefault="00A20640" w:rsidP="00B85D71">
      <w:pPr>
        <w:pStyle w:val="ListParagraph"/>
        <w:numPr>
          <w:ilvl w:val="0"/>
          <w:numId w:val="4"/>
        </w:numPr>
      </w:pPr>
      <w:r>
        <w:t>Use</w:t>
      </w:r>
      <w:bookmarkStart w:id="0" w:name="_GoBack"/>
      <w:bookmarkEnd w:id="0"/>
      <w:r w:rsidR="00B85D71">
        <w:t xml:space="preserve"> the Fall 2014 final from</w:t>
      </w:r>
      <w:r w:rsidR="00B85D71">
        <w:br/>
      </w:r>
      <w:hyperlink r:id="rId9" w:history="1">
        <w:r w:rsidR="00B85D71" w:rsidRPr="007C44E3">
          <w:rPr>
            <w:rStyle w:val="Hyperlink"/>
          </w:rPr>
          <w:t>http://wumath.wustl.edu/math-exam-archives</w:t>
        </w:r>
      </w:hyperlink>
    </w:p>
    <w:p w:rsidR="00B85D71" w:rsidRDefault="00B85D71" w:rsidP="00B85D71">
      <w:pPr>
        <w:pStyle w:val="ListParagraph"/>
      </w:pPr>
      <w:r>
        <w:t xml:space="preserve">Here you would want to omit problems </w:t>
      </w:r>
      <w:r w:rsidR="008E79E8">
        <w:t>5, 6, 9, 10, 19</w:t>
      </w:r>
    </w:p>
    <w:p w:rsidR="00B85D71" w:rsidRDefault="00B85D71"/>
    <w:p w:rsidR="00D163BF" w:rsidRDefault="00D163BF" w:rsidP="00B85D71">
      <w:pPr>
        <w:pStyle w:val="ListParagraph"/>
        <w:numPr>
          <w:ilvl w:val="0"/>
          <w:numId w:val="4"/>
        </w:numPr>
      </w:pPr>
      <w:r>
        <w:t xml:space="preserve">If you want more practice on techniques of integration, look at some of the problems/solutions at </w:t>
      </w:r>
      <w:r>
        <w:br/>
      </w:r>
    </w:p>
    <w:p w:rsidR="00D163BF" w:rsidRDefault="00D163BF" w:rsidP="00D163BF">
      <w:pPr>
        <w:pStyle w:val="ListParagraph"/>
        <w:numPr>
          <w:ilvl w:val="0"/>
          <w:numId w:val="3"/>
        </w:numPr>
      </w:pPr>
      <w:r>
        <w:t>Integration by substitution:</w:t>
      </w:r>
      <w:r>
        <w:br/>
      </w:r>
      <w:hyperlink r:id="rId10" w:history="1">
        <w:r w:rsidRPr="007C44E3">
          <w:rPr>
            <w:rStyle w:val="Hyperlink"/>
          </w:rPr>
          <w:t>http://archives.math.utk.edu/visual.calculus/4/substitutions.1/</w:t>
        </w:r>
      </w:hyperlink>
    </w:p>
    <w:p w:rsidR="00D163BF" w:rsidRDefault="00D163BF" w:rsidP="00D163BF">
      <w:pPr>
        <w:pStyle w:val="ListParagraph"/>
        <w:ind w:left="1080"/>
      </w:pPr>
    </w:p>
    <w:p w:rsidR="00D163BF" w:rsidRDefault="00D163BF" w:rsidP="00D163BF">
      <w:pPr>
        <w:pStyle w:val="ListParagraph"/>
        <w:numPr>
          <w:ilvl w:val="0"/>
          <w:numId w:val="3"/>
        </w:numPr>
      </w:pPr>
      <w:r>
        <w:t xml:space="preserve">integration by parts:  </w:t>
      </w:r>
      <w:hyperlink r:id="rId11" w:history="1">
        <w:r w:rsidRPr="007C44E3">
          <w:rPr>
            <w:rStyle w:val="Hyperlink"/>
          </w:rPr>
          <w:t>https://www.math.ucdavis.edu/%7Ekouba/CalcTwoDIRECTORY/intbypartsdirectory/IntByParts.html</w:t>
        </w:r>
      </w:hyperlink>
      <w:r>
        <w:br/>
      </w:r>
    </w:p>
    <w:p w:rsidR="00D163BF" w:rsidRDefault="00D163BF" w:rsidP="00D163BF">
      <w:pPr>
        <w:pStyle w:val="ListParagraph"/>
        <w:numPr>
          <w:ilvl w:val="0"/>
          <w:numId w:val="3"/>
        </w:numPr>
      </w:pPr>
      <w:r>
        <w:t>trig integrals:</w:t>
      </w:r>
      <w:r>
        <w:br/>
      </w:r>
      <w:hyperlink r:id="rId12" w:history="1">
        <w:r w:rsidRPr="007C44E3">
          <w:rPr>
            <w:rStyle w:val="Hyperlink"/>
          </w:rPr>
          <w:t>https://www.math.ucdavis.edu/%7Ekouba/CalcTwoDIRECTORY/trigintdirectory/TrigInt.html</w:t>
        </w:r>
      </w:hyperlink>
      <w:r>
        <w:br/>
      </w:r>
    </w:p>
    <w:p w:rsidR="00D163BF" w:rsidRDefault="00D163BF" w:rsidP="00D163BF">
      <w:pPr>
        <w:pStyle w:val="ListParagraph"/>
        <w:numPr>
          <w:ilvl w:val="0"/>
          <w:numId w:val="3"/>
        </w:numPr>
      </w:pPr>
      <w:r>
        <w:t>trig substitutions:</w:t>
      </w:r>
      <w:r>
        <w:br/>
      </w:r>
      <w:hyperlink r:id="rId13" w:history="1">
        <w:r w:rsidRPr="007C44E3">
          <w:rPr>
            <w:rStyle w:val="Hyperlink"/>
          </w:rPr>
          <w:t>http://archives.math.utk.edu/visual.calculus/4/substitutions.2/</w:t>
        </w:r>
      </w:hyperlink>
      <w:r>
        <w:br/>
      </w:r>
    </w:p>
    <w:p w:rsidR="00D163BF" w:rsidRDefault="00D163BF" w:rsidP="00D163BF">
      <w:pPr>
        <w:pStyle w:val="ListParagraph"/>
        <w:numPr>
          <w:ilvl w:val="0"/>
          <w:numId w:val="3"/>
        </w:numPr>
      </w:pPr>
      <w:r>
        <w:t>partial fractions:</w:t>
      </w:r>
      <w:r>
        <w:br/>
      </w:r>
      <w:hyperlink r:id="rId14" w:history="1">
        <w:r w:rsidRPr="007C44E3">
          <w:rPr>
            <w:rStyle w:val="Hyperlink"/>
          </w:rPr>
          <w:t>http://archives.math.utk.edu/visual.calculus//4/partial_fractions.1/index.html</w:t>
        </w:r>
      </w:hyperlink>
      <w:r>
        <w:br/>
      </w:r>
    </w:p>
    <w:p w:rsidR="00D163BF" w:rsidRDefault="00B85D71" w:rsidP="00B85D71">
      <w:pPr>
        <w:pStyle w:val="ListParagraph"/>
        <w:numPr>
          <w:ilvl w:val="0"/>
          <w:numId w:val="3"/>
        </w:numPr>
      </w:pPr>
      <w:r>
        <w:t>improper integrals Type I:</w:t>
      </w:r>
      <w:r>
        <w:br/>
      </w:r>
      <w:hyperlink r:id="rId15" w:history="1">
        <w:r w:rsidRPr="007C44E3">
          <w:rPr>
            <w:rStyle w:val="Hyperlink"/>
          </w:rPr>
          <w:t>http://archives.math.utk.edu/visual.calculus/4/improper.1/</w:t>
        </w:r>
      </w:hyperlink>
      <w:r>
        <w:br/>
      </w:r>
    </w:p>
    <w:p w:rsidR="00B85D71" w:rsidRDefault="00B85D71" w:rsidP="00B85D71">
      <w:pPr>
        <w:pStyle w:val="ListParagraph"/>
        <w:numPr>
          <w:ilvl w:val="0"/>
          <w:numId w:val="3"/>
        </w:numPr>
      </w:pPr>
      <w:r>
        <w:t>improper integrals Type 2:</w:t>
      </w:r>
      <w:r>
        <w:br/>
      </w:r>
      <w:hyperlink r:id="rId16" w:history="1">
        <w:r w:rsidRPr="007C44E3">
          <w:rPr>
            <w:rStyle w:val="Hyperlink"/>
          </w:rPr>
          <w:t>http://tutorial.math.lamar.edu/Problems/CalcII/ImproperIntegrals.aspx</w:t>
        </w:r>
      </w:hyperlink>
    </w:p>
    <w:p w:rsidR="00D163BF" w:rsidRDefault="00D163BF" w:rsidP="00D163BF"/>
    <w:sectPr w:rsidR="00D16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9AD"/>
    <w:multiLevelType w:val="hybridMultilevel"/>
    <w:tmpl w:val="6E0AEA6A"/>
    <w:lvl w:ilvl="0" w:tplc="AA700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0E1A6F"/>
    <w:multiLevelType w:val="hybridMultilevel"/>
    <w:tmpl w:val="DBCCCB74"/>
    <w:lvl w:ilvl="0" w:tplc="E8F0FF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F65B86"/>
    <w:multiLevelType w:val="hybridMultilevel"/>
    <w:tmpl w:val="B2E47C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C6B58"/>
    <w:multiLevelType w:val="hybridMultilevel"/>
    <w:tmpl w:val="3E6C173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06"/>
    <w:rsid w:val="00106975"/>
    <w:rsid w:val="00176D0D"/>
    <w:rsid w:val="002C1687"/>
    <w:rsid w:val="00313892"/>
    <w:rsid w:val="003E7B76"/>
    <w:rsid w:val="0043739F"/>
    <w:rsid w:val="00477B2C"/>
    <w:rsid w:val="00682BCE"/>
    <w:rsid w:val="007375A1"/>
    <w:rsid w:val="007E3E87"/>
    <w:rsid w:val="00827D0D"/>
    <w:rsid w:val="008E79E8"/>
    <w:rsid w:val="0096758D"/>
    <w:rsid w:val="009F6A18"/>
    <w:rsid w:val="00A20640"/>
    <w:rsid w:val="00AD5A80"/>
    <w:rsid w:val="00B77007"/>
    <w:rsid w:val="00B85D71"/>
    <w:rsid w:val="00C50503"/>
    <w:rsid w:val="00D163BF"/>
    <w:rsid w:val="00E905F6"/>
    <w:rsid w:val="00F035A4"/>
    <w:rsid w:val="00F36AE1"/>
    <w:rsid w:val="00F6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CD4B5"/>
  <w15:chartTrackingRefBased/>
  <w15:docId w15:val="{429B179A-48A7-47D5-8455-8DF1DEFE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20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00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16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163B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5A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2064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hn.wustl.edu/~blake/courses/WU-132-2016-Fall/handouts/Exam4-Sols.pdf" TargetMode="External"/><Relationship Id="rId13" Type="http://schemas.openxmlformats.org/officeDocument/2006/relationships/hyperlink" Target="http://archives.math.utk.edu/visual.calculus/4/substitutions.2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hn.wustl.edu/~blake/courses/WU-132-2016-Fall/handouts/Exam4.pdf" TargetMode="External"/><Relationship Id="rId12" Type="http://schemas.openxmlformats.org/officeDocument/2006/relationships/hyperlink" Target="https://www.math.ucdavis.edu/%7Ekouba/CalcTwoDIRECTORY/trigintdirectory/TrigInt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utorial.math.lamar.edu/Problems/CalcII/ImproperIntegrals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th.wustl.edu/~blake/calculus/" TargetMode="External"/><Relationship Id="rId11" Type="http://schemas.openxmlformats.org/officeDocument/2006/relationships/hyperlink" Target="https://www.math.ucdavis.edu/%7Ekouba/CalcTwoDIRECTORY/intbypartsdirectory/IntByParts.html" TargetMode="External"/><Relationship Id="rId5" Type="http://schemas.openxmlformats.org/officeDocument/2006/relationships/hyperlink" Target="http://www.math.wustl.edu/seatlookup/" TargetMode="External"/><Relationship Id="rId15" Type="http://schemas.openxmlformats.org/officeDocument/2006/relationships/hyperlink" Target="http://archives.math.utk.edu/visual.calculus/4/improper.1/" TargetMode="External"/><Relationship Id="rId10" Type="http://schemas.openxmlformats.org/officeDocument/2006/relationships/hyperlink" Target="http://archives.math.utk.edu/visual.calculus/4/substitutions.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umath.wustl.edu/math-exam-archives" TargetMode="External"/><Relationship Id="rId14" Type="http://schemas.openxmlformats.org/officeDocument/2006/relationships/hyperlink" Target="http://archives.math.utk.edu/visual.calculus//4/partial_fractions.1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rcf</dc:creator>
  <cp:keywords/>
  <dc:description/>
  <cp:lastModifiedBy>rcf</cp:lastModifiedBy>
  <cp:revision>2</cp:revision>
  <cp:lastPrinted>2017-04-28T19:28:00Z</cp:lastPrinted>
  <dcterms:created xsi:type="dcterms:W3CDTF">2017-04-28T19:37:00Z</dcterms:created>
  <dcterms:modified xsi:type="dcterms:W3CDTF">2017-04-28T19:37:00Z</dcterms:modified>
</cp:coreProperties>
</file>